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v letošním roce rozdá na nejrůznější projekty 60 milionů korun</w:t>
      </w:r>
    </w:p>
    <w:p>
      <w:pPr/>
      <w:r>
        <w:rPr/>
        <w:t xml:space="preserve">Jiří Suchánek, ředitel Nadace OKD: </w:t>
      </w:r>
      <w:r>
        <w:rPr>
          <w:i w:val="1"/>
          <w:iCs w:val="1"/>
        </w:rPr>
        <w:t xml:space="preserve">„Nadace vypisuje grantové řízení, které začíná v pátek 13. ledna a končí 24. února a neziskovky a obce mohou žádat o granty v programech pro zdraví, pro radost, pro budoucnost, pro Evropu a novinkou je sídliště žije."</w:t>
      </w:r>
    </w:p>
    <w:p>
      <w:pPr/>
      <w:r>
        <w:rPr/>
        <w:t xml:space="preserve">Velkou šanci na podporu mají například chráněné dílny, které Nadace OKD podporuje už tradičně. Loni například 12 dílen pomáhala propagovat prostřednictvím festivalů, kde mohli prezentovat svou práci i výrobky. Novinkou v letošním roce je grant s názvem „Sídliště žije."</w:t>
      </w:r>
    </w:p>
    <w:p>
      <w:pPr/>
      <w:r>
        <w:rPr/>
        <w:t xml:space="preserve">Vladislav Sobol, mluvčí Nadace OKD: </w:t>
      </w:r>
      <w:r>
        <w:rPr>
          <w:i w:val="1"/>
          <w:iCs w:val="1"/>
        </w:rPr>
        <w:t xml:space="preserve">„V České republice žije asi třetina lidí na sídlištích a myslím, že by bylo zajímavé aby projevili svůj zájem aktivitou. Někteří z nich by chtěli něco udělat pro okolí, pro budoucnost svých dětí."</w:t>
      </w:r>
    </w:p>
    <w:p>
      <w:pPr/>
      <w:r>
        <w:rPr/>
        <w:t xml:space="preserve">Projekty bude vybírat desetičlenná komise složená ze zástupců nadace, ale i z nezávislých odborníků z neziskového sektoru. 80 procent vybraných projektů bude z Moravskoslezského kraje . Vybrané projekty budou zveřejněny 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799/nadace-okd-v-letosnim-roce-rozda-na-nejruznejsi-projekty-6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2026-04-20T18:27:40+02:00</dcterms:created>
  <dcterms:modified xsi:type="dcterms:W3CDTF">2026-04-20T18:27:40+02:00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