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29.10.2020,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 ve Frýdku-Místku úsekové radary? Město zjišťuje jaké jsou možnosti jejich pořízení</w:t>
      </w:r>
    </w:p>
    <w:p>
      <w:pPr/>
      <w:r>
        <w:rPr/>
        <w:t xml:space="preserve">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b w:val="1"/>
          <w:bCs w:val="1"/>
        </w:rPr>
        <w:t xml:space="preserve">Anketa:</w:t>
      </w:r>
      <w:r>
        <w:rPr/>
        <w:t xml:space="preserve">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t xml:space="preserve">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w:t>
      </w:r>
      <w:r>
        <w:rPr/>
        <w:t xml:space="preserve"> "Řidiči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w:t>
      </w:r>
    </w:p>
    <w:p>
      <w:pPr/>
      <w:r>
        <w:rPr/>
        <w:t xml:space="preserve">Zástupci magistrátu se proto byli osobně podívat, jaké mají zkušenosti s úsekovým měřením v jiných městech. </w:t>
      </w: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t xml:space="preserve">Radnice je přesto zatím k plánu velmi ostražitá, třetina přestupků totiž končí v administrativně náročném správním řízení. Města, která měření zavedla, musela také přijmout další zaměstnance, kteří začali agendu spravovat. </w:t>
      </w: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t xml:space="preserve">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2516/budou-ve-frydkumistku-usekove-radary-mesto-zjistuje-jake-jsou-moznosti-jejich-pori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2026-07-07T05:00:25+02:00</dcterms:created>
  <dcterms:modified xsi:type="dcterms:W3CDTF">2026-07-07T05:00:25+02:00</dcterms:modified>
</cp:coreProperties>
</file>

<file path=docProps/custom.xml><?xml version="1.0" encoding="utf-8"?>
<Properties xmlns="http://schemas.openxmlformats.org/officeDocument/2006/custom-properties" xmlns:vt="http://schemas.openxmlformats.org/officeDocument/2006/docPropsVTypes"/>
</file>