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20.12.2021,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část Frýdku-Místku získala moderní venkovní osvětlení</w:t>
      </w:r>
    </w:p>
    <w:p>
      <w:pPr/>
      <w:r>
        <w:rPr/>
        <w:t xml:space="preserve">Už několik let se průběžně pracuje ve Frýdku-Místku na  výměně starého typu pouličního osvětlení za nový a moderní.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"Naše společnost se řídí řádem preventivní údržby veřejného  osvětlení, který vychází defacto z generelu, který schválila rada města  již v roce 2015. A my už od roku 2017 postupně najíždíme na postupnou  obměnu stávajících starých svítidel. S tím, že z celkového počtu 8 239  máme v těch místních částech, kde teda jsme ty práce zahájily, hotovy k letošnímu  roku 558 svítidel."</w:t>
      </w:r>
    </w:p>
    <w:p>
      <w:pPr/>
      <w:r>
        <w:rPr/>
        <w:t xml:space="preserve">Aktuálně už proběhla výměna osvětlení v části Panské Nové Dvory.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"Letos původně jsme chtěli ty práce zahájit někdy už v průběhu  září. Bohužel, jak to tady v dnešní době bývá, dodávka svítidel byla  opožděná, takže jsme práce zahájili až v listopadu a v těchto dnech  jsme je dokončili. A celkem na místní části Panské Nové Dvory bylo vyměněno 210  svítidel. Takže dá se říct, že k letošnímu roku všechny místní části už  jsou vyměněny."</w:t>
      </w:r>
    </w:p>
    <w:p>
      <w:pPr/>
      <w:r>
        <w:rPr/>
        <w:t xml:space="preserve">Nové LED diodové lampy jsou energeticky úspornější, mají  delší životnost a také by měly být méně poruchové.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"Co se týče toho území města jako takového, tak tam jsme zahájili  tu výměnu již v roce 2018. Víceméně v parcích a na cyklostezkách,  takže tam je necelých 190 svítidel. Díky tomu, že fungujeme v návaznosti na  nějaký ten preventivní řád, tak není akutní potřeba na území celého města  vyměnit nějakou velkou část. Jdeme postupně, tím pádem jsou samozřejmě i ty  náklady rozmělněnější a v relaci."</w:t>
      </w:r>
    </w:p>
    <w:p>
      <w:pPr/>
      <w:r>
        <w:rPr/>
        <w:t xml:space="preserve">V letošním roce vyčlenilo město na kompletní údržbu  veřejného osvětlení téměř 29 milionů korun. V příštím roce bude částka ještě  o půl milionu vyšší.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9069/dalsi-cast-frydkumistku-ziskala-moderni-venkovni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2026-06-04T03:49:49+02:00</dcterms:created>
  <dcterms:modified xsi:type="dcterms:W3CDTF">2026-06-04T03:49:49+02:00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