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o záchranu Slezského divadla. Do mínusu ho údajně přivedl odvolaný ředitel Kománek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174/opava-bojuje-o-zachranu-slezskeho-divadla-do-minusu-ho-udajne-privedl-odvolany-reditel-kom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