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lidem předvedli bojovníci římských legií</w:t>
      </w:r>
    </w:p>
    <w:p>
      <w:pPr/>
      <w:r>
        <w:rPr/>
        <w:t xml:space="preserve">Archeopark sice na základě místních vykopávek mapuje především život Slovanů, tentokrát ale lidé viděli Římské legie. </w:t>
      </w: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702/v-chotebuzskem-archeoparku-se-lidem-predvedli-bojovnici-rimskych-le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2026-05-08T05:54:22+02:00</dcterms:created>
  <dcterms:modified xsi:type="dcterms:W3CDTF">2026-05-08T05:54:22+02:00</dcterms:modified>
</cp:coreProperties>
</file>

<file path=docProps/custom.xml><?xml version="1.0" encoding="utf-8"?>
<Properties xmlns="http://schemas.openxmlformats.org/officeDocument/2006/custom-properties" xmlns:vt="http://schemas.openxmlformats.org/officeDocument/2006/docPropsVTypes"/>
</file>