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kolejích v Moravskoslezském kraji začaly jezdit bateriové RegioPantery, brzy jich bude více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dieselovými."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hodnota."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Martin Kupka (ANO/SPOLU), ministr dopravy ČR</w:t>
      </w:r>
      <w:r>
        <w:rPr/>
        <w:t xml:space="preserve">: "Už ty první zkušenosti právě s tou linkou z Ostravy do Studénky, a potom v takzvané nezávislé trakci až do Veřovic, ukazuje, že ta souprava tam byla schopna dojet. Baterie naplno nabité se vybily jen na 53 procent a zpět, s ohledem na sklonové poměry, se díky rekuperaci o deset procent dobily."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 </w:t>
      </w:r>
    </w:p>
    <w:p>
      <w:pPr/>
      <w:r>
        <w:rPr/>
        <w:t xml:space="preserve">{{souvisejici-clanek-"11000046448"}}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49/na-kolejich-v-moravskoslezskem-kraji-zacaly-jezdit-bateriove-regiopantery-brzy-jich-bud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2026-05-15T20:46:56+02:00</dcterms:created>
  <dcterms:modified xsi:type="dcterms:W3CDTF">2026-05-15T20:46:56+02:00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