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léčí pohybové potíže pacientů botulotoxinem</w:t>
      </w:r>
    </w:p>
    <w:p>
      <w:pPr/>
      <w:r>
        <w:rPr/>
        <w:t xml:space="preserve">Jedním z pacientů, který na injekce botulotoxinu pravideln dochází je i pan Robert Mirga. 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491/karvinska-hornicka-nemocnice-leci-pohybove-potize-pacientu-botulotoxi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2026-05-08T05:54:26+02:00</dcterms:created>
  <dcterms:modified xsi:type="dcterms:W3CDTF">2026-05-08T05:54:26+02:00</dcterms:modified>
</cp:coreProperties>
</file>

<file path=docProps/custom.xml><?xml version="1.0" encoding="utf-8"?>
<Properties xmlns="http://schemas.openxmlformats.org/officeDocument/2006/custom-properties" xmlns:vt="http://schemas.openxmlformats.org/officeDocument/2006/docPropsVTypes"/>
</file>