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vzdělání a rozvoj talentů. Dotace podpoří 66 projektů</w:t>
      </w:r>
    </w:p>
    <w:p>
      <w:pPr/>
      <w:r>
        <w:rPr/>
        <w:t xml:space="preserve">Rozpoznání, podchycení a další rozvíjení talentů u dětí už od předškolního věku je důležitá investice pro rozvoj a budoucnost každého města. Proto Ostrava už dlouhodobě vyhlašuje dotační program na podporu vzdělávání a talemntmanagementu. Pro rok 2025 schválilo zastupitelstvo města na tuto výzvu 30 milionů 600 tisíc korun.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"„Vycházíme ze skutečnosti,  že talent a nadání je nejlepší podnítit a dále s ním odborně pedagogicky pracovat už od raného dětství. Žáci  základních škol i předškoláci mateřinek díky tomuto přístupu začnou brzy vstřebávat potřebné znalosti a  dovednosti, a to navíc atraktivní, zábavnou formou, která posiluje chuť do učení a radost z objevování  nového."</w:t>
      </w:r>
    </w:p>
    <w:p>
      <w:pPr/>
      <w:r>
        <w:rPr/>
        <w:t xml:space="preserve">Komise vybrala celkem 66 projektů. Zahrnují čtenářské, badatelské, technické,  enviromentální, umělecké i sportovní aktivity. Nechybí ani programy zaměřené na funkční, polytechnickou  nebo finanční gramotnost. Například Mateřská škola Varenská se zaměřuje na nadané děti prostřednictvím programu Talentík 2025.</w:t>
      </w:r>
    </w:p>
    <w:p>
      <w:pPr/>
      <w:r>
        <w:rPr>
          <w:b w:val="1"/>
          <w:bCs w:val="1"/>
        </w:rPr>
        <w:t xml:space="preserve">Stanislava Korcová, ředitelka MŠ Varenská, Ostrava:</w:t>
      </w:r>
      <w:r>
        <w:rPr/>
        <w:t xml:space="preserve"> "Projekt si dává za cíl nominovat a vybrat děti s vyšším potenciálem v intelektové oblasti, poněvadž je zcela běžné, že rodiče i pedagogové rozvíjejí další oblasti talentu, jako je třeba výtvarný, pohybový a hudební, ale intelektové nadání je trošku opomíjené." </w:t>
      </w:r>
    </w:p>
    <w:p>
      <w:pPr/>
      <w:r>
        <w:rPr/>
        <w:t xml:space="preserve">Podstatná je také role vysokých škol, které se zabývají systematickou podporou  nadání. Ostravská univerzita například realizuje projekt s názvem „Univerzita pro nadání – Univerzita pro školy“.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23/ostrava-podporuje-vzdelani-a-rozvoj-talentu-dotace-podpori-66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