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překročili prahy kostelů a modliteben</w:t>
      </w:r>
    </w:p>
    <w:p>
      <w:pPr/>
      <w:r>
        <w:rPr/>
        <w:t xml:space="preserve">Noc kostelů začala ve farním chrámu Nanebevzetí Panny Marie mší svatou, kdokoliv pak mohl až do půlnoci vstoupit a v klidu posedět při svíčkách. Zato před kostelem bylo rušněji. Připravena byla Zastávka s občerstvením a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“Jsme rádi, že jsme se i letos zapojili do tradiční Noci kostelů. Musím říct, že mám velkou radost, protože se sešlo poměrně hodně lidí, začali jsme koncertem cimbálové muziky, stále ještě na faře hrají a je to krásné. Snad jen jedna maličká věc, že počasí není úplně ideální, takže ty akce, které se obvykle konají v zahradě, tak jsme museli přesunout dovnitř do sborového domu. Takže setkání dětí a nějaké rukodělné aktivity se tady konají uvnitř, ale myslím si, že to vůbec nevadí.”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”Na Noc kostelů jsme vyjeli s třemi dětmi as manželkou, už jsme byli v Hodslavicích, kde bylo úžasné pásmo pro děti, které připravily děti, a teď jsme dorazili do Nového Jičína. tady bude mít výstavu velmi talentovaná malířka Anna Sypěnová, moc se na to těším.” 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50/lide-prekrocili-prahy-kostelu-a-modlit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