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zmodernizoval 45 km silnic</w:t>
      </w:r>
    </w:p>
    <w:p>
      <w:pPr/>
      <w:r>
        <w:rPr>
          <w:i w:val="1"/>
          <w:iCs w:val="1"/>
        </w:rPr>
        <w:t xml:space="preserve">„V poslední etapě došlo k rekonstrukci případně výstavbě nových komunikací II. a III. třídy v celkové délce 45, 5 km za celkové náklady 420 milionů. Přičemž kraj se podílel 60 miliony korun, 30 milionů dal stát a 330 milionů Evropská unie,"</w:t>
      </w:r>
      <w:r>
        <w:rPr/>
        <w:t xml:space="preserve"> říká 1. náměstek hejtmana Moravskoslezského kraje.</w:t>
      </w:r>
    </w:p>
    <w:p>
      <w:pPr/>
      <w:r>
        <w:rPr/>
        <w:t xml:space="preserve">Například na Osoblažsku byl v obci Dívčí hrad opraven most, ve Studénce byl vystavěn kruhový objezd nebo mezi Karpentnou a Oldřichovicemi byl vystavěn téměř kilometr dlouhý nový úsek silnice.</w:t>
      </w:r>
    </w:p>
    <w:p>
      <w:pPr/>
      <w:r>
        <w:rPr/>
        <w:t xml:space="preserve">Tomáš Böhm, ředitel Správy silnic Moravskoslezského kraje: </w:t>
      </w:r>
      <w:r>
        <w:rPr>
          <w:i w:val="1"/>
          <w:iCs w:val="1"/>
        </w:rPr>
        <w:t xml:space="preserve">„Výběr silnic je podle stavebně technického stavu, na mostních objektech je to taky technický stav a co se týká důležitosti zařazení do evropských projektů, je důležité, aby byly napojeny na hlavní silniční síť. To se týká silnic prvních tříd."</w:t>
      </w:r>
    </w:p>
    <w:p>
      <w:pPr/>
      <w:r>
        <w:rPr/>
        <w:t xml:space="preserve">Hynek Ország, vedoucí odboru evropských projektů krajského úřadu: </w:t>
      </w:r>
      <w:r>
        <w:rPr>
          <w:i w:val="1"/>
          <w:iCs w:val="1"/>
        </w:rPr>
        <w:t xml:space="preserve">"Moravskoslezský kraj je velmi úspěšný v čerpání dotací z Evropských fondů určených právě na podobné projekty. Prozatím se u všech třech žádostí podařilo dosáhnout míry spolufinancování z naší strany, takže náš podíl představuje pouze 7,5 procenta na celkových nákladech. 85 procent je hrazeno přímo z prostředků Evropské unie a dalších 7,5 procenta je hrazeno prostřednictvím státního rozupočtu."</w:t>
      </w:r>
    </w:p>
    <w:p>
      <w:pPr/>
      <w:r>
        <w:rPr>
          <w:i w:val="1"/>
          <w:iCs w:val="1"/>
        </w:rPr>
        <w:t xml:space="preserve">„Co se týká dopravní infrastruktury a čerpání evropských peněz na dopravní stavby, mohu říct, že se daří nad rámec dobře ve srovnání s jinými operačními programy i jinými osami v rámci Regionálního operačního programu. Silnice běží bez problémů a já doufám, že bez problémů dopadne i naše snaha a žádost o dofinancování celé té prioritní osy o další třičtvrtě miliardy korun,"</w:t>
      </w:r>
      <w:r>
        <w:rPr/>
        <w:t xml:space="preserve"> dodává Miroslav Novák.</w:t>
      </w:r>
    </w:p>
    <w:p>
      <w:pPr/>
      <w:r>
        <w:rPr/>
        <w:t xml:space="preserve">Krajský úřad v současné době pracuje na další, už 4. etapě modernizace silnic. V příštím roce by měl do jejich rekonstrukcí investovat ještě více než letos. Plánována je například stavba obchvatu Opavy nebo napojení Svinovského mostu na nádraží.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71/moravskoslezsky-kraj-zmodernizoval-45-km-si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2026-05-25T12:34:26+02:00</dcterms:created>
  <dcterms:modified xsi:type="dcterms:W3CDTF">2026-05-25T12:34:26+02:00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